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9qnkdr9bfa0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 POLICY</w:t>
      </w:r>
    </w:p>
    <w:p w:rsidR="00000000" w:rsidDel="00000000" w:rsidP="00000000" w:rsidRDefault="00000000" w:rsidRPr="00000000" w14:paraId="00000003">
      <w:pPr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protecting all employees' human rights. Specifically, [Organization Name] will ensure that every employee has a right to equal treatment  under the protected grounds and aspects of employment established by the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Human Rights Act, An Act Respecting Human Rights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Nationality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origin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Religious creed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Disfigurement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expression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Source of income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opinion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40" w:lineRule="auto"/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line="240" w:lineRule="auto"/>
        <w:ind w:left="1080" w:right="261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Pay Equity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,[Organization Name] can pay different rates to employees based on: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Seniority system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Merit System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Quantity or Quality System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recognises that any employee who believes their rights have been violated has the option of filing a complaint with the Newfoundland Human Rights Commission via mail, phone, or email. The complaint must be filed within 12 months of the claimed incident. [Organization Name] will not retaliate against any employee who has filed a complaint with the Commission or has had a complaint filed on their behalf.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ssembly.nl.ca/legislation/sr/statutes/h13-1.ht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nu91XLdWiYhCqRFw45hPPL6tw==">CgMxLjAyDmguOXFua2RyOWJmYTAxMgloLjN6bnlzaDc4AHIhMTByM21QTFhiblA3NHM5R09tcW12cVNkc0gyWHhiQTZY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